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B6" w:rsidRPr="00CF54FE" w:rsidRDefault="00474BB6" w:rsidP="00082591">
      <w:pPr>
        <w:spacing w:after="0" w:line="240" w:lineRule="auto"/>
        <w:ind w:left="-284" w:right="-284"/>
        <w:jc w:val="center"/>
        <w:rPr>
          <w:rFonts w:ascii="Times New Roman" w:hAnsi="Times New Roman" w:cs="Times New Roman"/>
          <w:b/>
          <w:color w:val="222222"/>
          <w:sz w:val="28"/>
          <w:szCs w:val="28"/>
        </w:rPr>
      </w:pPr>
      <w:bookmarkStart w:id="0" w:name="_GoBack"/>
      <w:bookmarkEnd w:id="0"/>
      <w:r w:rsidRPr="00CF54FE">
        <w:rPr>
          <w:rFonts w:ascii="Times New Roman" w:hAnsi="Times New Roman" w:cs="Times New Roman"/>
          <w:b/>
          <w:color w:val="222222"/>
          <w:sz w:val="28"/>
          <w:szCs w:val="28"/>
        </w:rPr>
        <w:t xml:space="preserve">Рекомендации по </w:t>
      </w:r>
      <w:r w:rsidR="00470403" w:rsidRPr="0027015E">
        <w:rPr>
          <w:rFonts w:ascii="Times New Roman" w:hAnsi="Times New Roman" w:cs="Times New Roman"/>
          <w:b/>
          <w:color w:val="222222"/>
          <w:sz w:val="28"/>
          <w:szCs w:val="28"/>
        </w:rPr>
        <w:t>минимизации</w:t>
      </w:r>
      <w:r w:rsidR="00470403">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определению, снижению, устранению</w:t>
      </w:r>
      <w:r w:rsidR="00470403">
        <w:rPr>
          <w:rFonts w:ascii="Times New Roman" w:hAnsi="Times New Roman" w:cs="Times New Roman"/>
          <w:b/>
          <w:color w:val="222222"/>
          <w:sz w:val="28"/>
          <w:szCs w:val="28"/>
        </w:rPr>
        <w:t>)</w:t>
      </w:r>
      <w:r w:rsidRPr="00CF54FE">
        <w:rPr>
          <w:rFonts w:ascii="Times New Roman" w:hAnsi="Times New Roman" w:cs="Times New Roman"/>
          <w:b/>
          <w:color w:val="222222"/>
          <w:sz w:val="28"/>
          <w:szCs w:val="28"/>
        </w:rPr>
        <w:t xml:space="preserve"> </w:t>
      </w:r>
      <w:r w:rsidR="0027015E">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 xml:space="preserve"> барьеров </w:t>
      </w:r>
      <w:r w:rsidR="00470403">
        <w:rPr>
          <w:rFonts w:ascii="Times New Roman" w:hAnsi="Times New Roman" w:cs="Times New Roman"/>
          <w:b/>
          <w:color w:val="222222"/>
          <w:sz w:val="28"/>
          <w:szCs w:val="28"/>
        </w:rPr>
        <w:t xml:space="preserve">предпринимательской деятельности </w:t>
      </w:r>
      <w:r w:rsidRPr="00CF54FE">
        <w:rPr>
          <w:rFonts w:ascii="Times New Roman" w:hAnsi="Times New Roman" w:cs="Times New Roman"/>
          <w:b/>
          <w:color w:val="222222"/>
          <w:sz w:val="28"/>
          <w:szCs w:val="28"/>
        </w:rPr>
        <w:t xml:space="preserve">на приоритетных </w:t>
      </w:r>
      <w:r w:rsidR="0080251B">
        <w:rPr>
          <w:rFonts w:ascii="Times New Roman" w:hAnsi="Times New Roman" w:cs="Times New Roman"/>
          <w:b/>
          <w:color w:val="222222"/>
          <w:sz w:val="28"/>
          <w:szCs w:val="28"/>
        </w:rPr>
        <w:t xml:space="preserve">и </w:t>
      </w:r>
      <w:r w:rsidRPr="00CF54FE">
        <w:rPr>
          <w:rFonts w:ascii="Times New Roman" w:hAnsi="Times New Roman" w:cs="Times New Roman"/>
          <w:b/>
          <w:color w:val="222222"/>
          <w:sz w:val="28"/>
          <w:szCs w:val="28"/>
        </w:rPr>
        <w:t xml:space="preserve">социально значимых рынках субъекта Российской Федерации </w:t>
      </w:r>
    </w:p>
    <w:p w:rsidR="002733AF" w:rsidRPr="004F1002" w:rsidRDefault="002733AF" w:rsidP="00082591">
      <w:pPr>
        <w:autoSpaceDE w:val="0"/>
        <w:autoSpaceDN w:val="0"/>
        <w:adjustRightInd w:val="0"/>
        <w:spacing w:after="0" w:line="240" w:lineRule="auto"/>
        <w:ind w:left="-284" w:right="-284"/>
        <w:jc w:val="center"/>
        <w:outlineLvl w:val="0"/>
        <w:rPr>
          <w:rFonts w:ascii="Times New Roman" w:hAnsi="Times New Roman" w:cs="Times New Roman"/>
          <w:sz w:val="28"/>
          <w:szCs w:val="28"/>
        </w:rPr>
      </w:pPr>
    </w:p>
    <w:p w:rsidR="004F1002" w:rsidRPr="004F1002" w:rsidRDefault="002777BA" w:rsidP="00082591">
      <w:pPr>
        <w:spacing w:after="0" w:line="240" w:lineRule="auto"/>
        <w:ind w:left="-284" w:right="-284"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4F1002" w:rsidRPr="004F1002">
        <w:rPr>
          <w:rFonts w:ascii="Times New Roman" w:hAnsi="Times New Roman" w:cs="Times New Roman"/>
          <w:sz w:val="28"/>
          <w:szCs w:val="28"/>
        </w:rPr>
        <w:t>Барьеры входа на рынок - это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включает</w:t>
      </w:r>
      <w:r w:rsidR="0080251B">
        <w:rPr>
          <w:rFonts w:ascii="Times New Roman" w:hAnsi="Times New Roman" w:cs="Times New Roman"/>
          <w:sz w:val="28"/>
          <w:szCs w:val="28"/>
        </w:rPr>
        <w:t xml:space="preserve"> </w:t>
      </w:r>
      <w:r w:rsidR="0080251B" w:rsidRPr="0070467A">
        <w:rPr>
          <w:rFonts w:ascii="Times New Roman" w:hAnsi="Times New Roman" w:cs="Times New Roman"/>
          <w:sz w:val="28"/>
          <w:szCs w:val="28"/>
        </w:rPr>
        <w:t>в себя</w:t>
      </w:r>
      <w:r>
        <w:rPr>
          <w:rFonts w:ascii="Times New Roman" w:hAnsi="Times New Roman" w:cs="Times New Roman"/>
          <w:sz w:val="28"/>
          <w:szCs w:val="28"/>
        </w:rPr>
        <w:t>:</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выявление наличия (или отсутствия) барьеров входа на рассматриваемый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определение преодолимости выявленных барьеров входа на рассматриваемый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2.</w:t>
      </w:r>
      <w:r>
        <w:rPr>
          <w:rFonts w:ascii="Times New Roman" w:hAnsi="Times New Roman" w:cs="Times New Roman"/>
          <w:sz w:val="28"/>
          <w:szCs w:val="28"/>
        </w:rPr>
        <w:t xml:space="preserve"> К барьерам входа на товарный рынок относятся:</w:t>
      </w:r>
    </w:p>
    <w:p w:rsidR="002236AC"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w:t>
      </w:r>
      <w:r w:rsidR="002236AC">
        <w:rPr>
          <w:rFonts w:ascii="Times New Roman" w:hAnsi="Times New Roman" w:cs="Times New Roman"/>
          <w:sz w:val="28"/>
          <w:szCs w:val="28"/>
        </w:rPr>
        <w:t xml:space="preserve">)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8" w:history="1">
        <w:r w:rsidR="002236AC" w:rsidRPr="002B1D2E">
          <w:rPr>
            <w:rFonts w:ascii="Times New Roman" w:hAnsi="Times New Roman" w:cs="Times New Roman"/>
            <w:sz w:val="28"/>
            <w:szCs w:val="28"/>
          </w:rPr>
          <w:t>законодательству</w:t>
        </w:r>
      </w:hyperlink>
      <w:r w:rsidR="002236AC">
        <w:rPr>
          <w:rFonts w:ascii="Times New Roman" w:hAnsi="Times New Roman" w:cs="Times New Roman"/>
          <w:sz w:val="28"/>
          <w:szCs w:val="28"/>
        </w:rPr>
        <w:t>),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лицензирования отдельных видов деятельности;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квотирование;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ограничения ввоза-вывоза товаров;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предоставление льгот отдельным хозяйствующим субъектам;</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препятствия в отведении земельных участков, предоставлении производственных и иных помещений;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конкурсного отбора поставщиков товара для государственных и муниципальных нужд;</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экологические ограничения, в том числе запрещение строительства производственных мощностей и объектов транспортной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стандарты и предъявляемые к качеству требования;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экономические ограничения, в том числе: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 транспортные ограничения;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инвестирование в избыточные производственные мощности, позволяющие увеличить выпуск товара для целей ограничения новых участников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проведение интенсивных рекламных кампаний;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д) другие ограничения входа на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3.</w:t>
      </w:r>
      <w:r>
        <w:rPr>
          <w:rFonts w:ascii="Times New Roman" w:hAnsi="Times New Roman" w:cs="Times New Roman"/>
          <w:sz w:val="28"/>
          <w:szCs w:val="28"/>
        </w:rPr>
        <w:t xml:space="preserve"> Барьеры входа на товарный рынок анализируются:</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4.</w:t>
      </w:r>
      <w:r>
        <w:rPr>
          <w:rFonts w:ascii="Times New Roman" w:hAnsi="Times New Roman" w:cs="Times New Roman"/>
          <w:sz w:val="28"/>
          <w:szCs w:val="28"/>
        </w:rPr>
        <w:t xml:space="preserve"> Преодолимость барьеров входа на товарный рынок оценивается на основе сроков и величины затрат на преодоление таких барьеров.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9B32E1" w:rsidRDefault="009B32E1"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FE3DA9" w:rsidRDefault="002B1D2E"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777BA">
        <w:rPr>
          <w:rFonts w:ascii="Times New Roman" w:hAnsi="Times New Roman" w:cs="Times New Roman"/>
          <w:sz w:val="28"/>
          <w:szCs w:val="28"/>
        </w:rPr>
        <w:t xml:space="preserve">5. </w:t>
      </w:r>
      <w:r w:rsidR="003B2507" w:rsidRPr="00CF54FE">
        <w:rPr>
          <w:rFonts w:ascii="Times New Roman" w:hAnsi="Times New Roman" w:cs="Times New Roman"/>
          <w:sz w:val="28"/>
          <w:szCs w:val="28"/>
        </w:rPr>
        <w:t xml:space="preserve">По каждому из рынков, входящих в перечень приоритетных </w:t>
      </w:r>
      <w:r w:rsidR="00DB2EA5">
        <w:rPr>
          <w:rFonts w:ascii="Times New Roman" w:hAnsi="Times New Roman" w:cs="Times New Roman"/>
          <w:sz w:val="28"/>
          <w:szCs w:val="28"/>
        </w:rPr>
        <w:t>и социально</w:t>
      </w:r>
      <w:r w:rsidR="003B2507" w:rsidRPr="00CF54FE">
        <w:rPr>
          <w:rFonts w:ascii="Times New Roman" w:hAnsi="Times New Roman" w:cs="Times New Roman"/>
          <w:sz w:val="28"/>
          <w:szCs w:val="28"/>
        </w:rPr>
        <w:t xml:space="preserve"> значимых рынков</w:t>
      </w:r>
      <w:r w:rsidR="00FE3DA9">
        <w:rPr>
          <w:rFonts w:ascii="Times New Roman" w:hAnsi="Times New Roman" w:cs="Times New Roman"/>
          <w:sz w:val="28"/>
          <w:szCs w:val="28"/>
        </w:rPr>
        <w:t>,</w:t>
      </w:r>
      <w:r w:rsidR="003B2507" w:rsidRPr="00CF54FE">
        <w:rPr>
          <w:rFonts w:ascii="Times New Roman" w:hAnsi="Times New Roman" w:cs="Times New Roman"/>
          <w:sz w:val="28"/>
          <w:szCs w:val="28"/>
        </w:rPr>
        <w:t xml:space="preserve"> осуществляется определение  административных барьеров</w:t>
      </w:r>
      <w:r w:rsidR="00DB2EA5">
        <w:rPr>
          <w:rFonts w:ascii="Times New Roman" w:hAnsi="Times New Roman" w:cs="Times New Roman"/>
          <w:sz w:val="28"/>
          <w:szCs w:val="28"/>
        </w:rPr>
        <w:t>, экономических ограничений, иных фак</w:t>
      </w:r>
      <w:r w:rsidR="00FE3DA9">
        <w:rPr>
          <w:rFonts w:ascii="Times New Roman" w:hAnsi="Times New Roman" w:cs="Times New Roman"/>
          <w:sz w:val="28"/>
          <w:szCs w:val="28"/>
        </w:rPr>
        <w:t>торов, являющихся барьерами входа на рынок (выхода с рынка)</w:t>
      </w:r>
      <w:r w:rsidR="003B2507" w:rsidRPr="00CF54FE">
        <w:rPr>
          <w:rFonts w:ascii="Times New Roman" w:hAnsi="Times New Roman" w:cs="Times New Roman"/>
          <w:sz w:val="28"/>
          <w:szCs w:val="28"/>
        </w:rPr>
        <w:t xml:space="preserve">. </w:t>
      </w:r>
    </w:p>
    <w:p w:rsidR="00FC05DB" w:rsidRPr="00CF54FE" w:rsidRDefault="00FE3DA9" w:rsidP="00082591">
      <w:pPr>
        <w:spacing w:after="0" w:line="240" w:lineRule="auto"/>
        <w:ind w:left="-284" w:right="-284"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5B1719" w:rsidRPr="00CF54FE">
        <w:rPr>
          <w:rFonts w:ascii="Times New Roman" w:hAnsi="Times New Roman" w:cs="Times New Roman"/>
          <w:sz w:val="28"/>
          <w:szCs w:val="28"/>
        </w:rPr>
        <w:t xml:space="preserve">С целью выявления </w:t>
      </w:r>
      <w:r w:rsidR="003B2507" w:rsidRPr="00CF54FE">
        <w:rPr>
          <w:rFonts w:ascii="Times New Roman" w:hAnsi="Times New Roman" w:cs="Times New Roman"/>
          <w:sz w:val="28"/>
          <w:szCs w:val="28"/>
        </w:rPr>
        <w:t xml:space="preserve">избыточных </w:t>
      </w:r>
      <w:r w:rsidR="005B1719" w:rsidRPr="00CF54FE">
        <w:rPr>
          <w:rFonts w:ascii="Times New Roman" w:hAnsi="Times New Roman" w:cs="Times New Roman"/>
          <w:sz w:val="28"/>
          <w:szCs w:val="28"/>
        </w:rPr>
        <w:t xml:space="preserve">административных барьеров </w:t>
      </w:r>
      <w:r w:rsidR="00EC2758" w:rsidRPr="00CF54FE">
        <w:rPr>
          <w:rFonts w:ascii="Times New Roman" w:hAnsi="Times New Roman" w:cs="Times New Roman"/>
          <w:sz w:val="28"/>
          <w:szCs w:val="28"/>
        </w:rPr>
        <w:t xml:space="preserve">анализируется влияние каждого из них на ситуацию на </w:t>
      </w:r>
      <w:r w:rsidR="00576531" w:rsidRPr="00CF54FE">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том или ином </w:t>
      </w:r>
      <w:r w:rsidR="00576531" w:rsidRPr="00CF54FE">
        <w:rPr>
          <w:rFonts w:ascii="Times New Roman" w:hAnsi="Times New Roman" w:cs="Times New Roman"/>
          <w:sz w:val="28"/>
          <w:szCs w:val="28"/>
        </w:rPr>
        <w:t>рынке</w:t>
      </w:r>
      <w:r w:rsidR="00EC2758" w:rsidRPr="00CF54FE">
        <w:rPr>
          <w:rFonts w:ascii="Times New Roman" w:hAnsi="Times New Roman" w:cs="Times New Roman"/>
          <w:sz w:val="28"/>
          <w:szCs w:val="28"/>
        </w:rPr>
        <w:t xml:space="preserve">.  </w:t>
      </w:r>
      <w:r w:rsidR="00576531" w:rsidRPr="00CF54FE">
        <w:rPr>
          <w:rFonts w:ascii="Times New Roman" w:hAnsi="Times New Roman" w:cs="Times New Roman"/>
          <w:sz w:val="28"/>
          <w:szCs w:val="28"/>
        </w:rPr>
        <w:t xml:space="preserve"> </w:t>
      </w:r>
    </w:p>
    <w:p w:rsidR="00474BB6"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По результатам анализа административных барьеров </w:t>
      </w:r>
      <w:r w:rsidR="00474BB6" w:rsidRPr="00CF54FE">
        <w:rPr>
          <w:rFonts w:ascii="Times New Roman" w:hAnsi="Times New Roman" w:cs="Times New Roman"/>
          <w:sz w:val="28"/>
          <w:szCs w:val="28"/>
        </w:rPr>
        <w:t xml:space="preserve">рассматриваются следующие возможности их </w:t>
      </w:r>
      <w:r w:rsidR="0070467A">
        <w:rPr>
          <w:rFonts w:ascii="Times New Roman" w:hAnsi="Times New Roman" w:cs="Times New Roman"/>
          <w:sz w:val="28"/>
          <w:szCs w:val="28"/>
        </w:rPr>
        <w:t>минимизации</w:t>
      </w:r>
      <w:r w:rsidR="00474BB6" w:rsidRPr="00CF54FE">
        <w:rPr>
          <w:rFonts w:ascii="Times New Roman" w:hAnsi="Times New Roman" w:cs="Times New Roman"/>
          <w:sz w:val="28"/>
          <w:szCs w:val="28"/>
        </w:rPr>
        <w:t xml:space="preserve"> (устранения):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о</w:t>
      </w:r>
      <w:r w:rsidR="00FC05DB" w:rsidRPr="00CF54FE">
        <w:rPr>
          <w:rFonts w:ascii="Times New Roman" w:hAnsi="Times New Roman" w:cs="Times New Roman"/>
          <w:sz w:val="28"/>
          <w:szCs w:val="28"/>
        </w:rPr>
        <w:t xml:space="preserve">тмена </w:t>
      </w:r>
      <w:r w:rsidR="00EC2758" w:rsidRPr="00CF54FE">
        <w:rPr>
          <w:rFonts w:ascii="Times New Roman" w:hAnsi="Times New Roman" w:cs="Times New Roman"/>
          <w:sz w:val="28"/>
          <w:szCs w:val="28"/>
        </w:rPr>
        <w:t xml:space="preserve">административных </w:t>
      </w:r>
      <w:r w:rsidR="00FC05DB" w:rsidRPr="00CF54FE">
        <w:rPr>
          <w:rFonts w:ascii="Times New Roman" w:hAnsi="Times New Roman" w:cs="Times New Roman"/>
          <w:sz w:val="28"/>
          <w:szCs w:val="28"/>
        </w:rPr>
        <w:t>процедур</w:t>
      </w:r>
      <w:r w:rsidR="00EC2758" w:rsidRPr="00CF54FE">
        <w:rPr>
          <w:rFonts w:ascii="Times New Roman" w:hAnsi="Times New Roman" w:cs="Times New Roman"/>
          <w:sz w:val="28"/>
          <w:szCs w:val="28"/>
        </w:rPr>
        <w:t xml:space="preserve">, предусмотренных </w:t>
      </w:r>
      <w:r w:rsidR="00FC05DB" w:rsidRPr="00CF54FE">
        <w:rPr>
          <w:rFonts w:ascii="Times New Roman" w:hAnsi="Times New Roman" w:cs="Times New Roman"/>
          <w:sz w:val="28"/>
          <w:szCs w:val="28"/>
        </w:rPr>
        <w:t xml:space="preserve"> адм</w:t>
      </w:r>
      <w:r w:rsidR="00EC2758" w:rsidRPr="00CF54FE">
        <w:rPr>
          <w:rFonts w:ascii="Times New Roman" w:hAnsi="Times New Roman" w:cs="Times New Roman"/>
          <w:sz w:val="28"/>
          <w:szCs w:val="28"/>
        </w:rPr>
        <w:t>инистративными р</w:t>
      </w:r>
      <w:r w:rsidR="00FC05DB" w:rsidRPr="00CF54FE">
        <w:rPr>
          <w:rFonts w:ascii="Times New Roman" w:hAnsi="Times New Roman" w:cs="Times New Roman"/>
          <w:sz w:val="28"/>
          <w:szCs w:val="28"/>
        </w:rPr>
        <w:t>егл</w:t>
      </w:r>
      <w:r w:rsidR="00EC2758" w:rsidRPr="00CF54FE">
        <w:rPr>
          <w:rFonts w:ascii="Times New Roman" w:hAnsi="Times New Roman" w:cs="Times New Roman"/>
          <w:sz w:val="28"/>
          <w:szCs w:val="28"/>
        </w:rPr>
        <w:t>аментами и признанных избыточными</w:t>
      </w:r>
      <w:r w:rsidR="00474BB6" w:rsidRPr="00CF54FE">
        <w:rPr>
          <w:rFonts w:ascii="Times New Roman" w:hAnsi="Times New Roman" w:cs="Times New Roman"/>
          <w:sz w:val="28"/>
          <w:szCs w:val="28"/>
        </w:rPr>
        <w:t>;</w:t>
      </w:r>
      <w:r w:rsidR="00EC2758" w:rsidRPr="00CF54FE">
        <w:rPr>
          <w:rFonts w:ascii="Times New Roman" w:hAnsi="Times New Roman" w:cs="Times New Roman"/>
          <w:sz w:val="28"/>
          <w:szCs w:val="28"/>
        </w:rPr>
        <w:t xml:space="preserve">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сокращение </w:t>
      </w:r>
      <w:r w:rsidR="00FC05DB" w:rsidRPr="00CF54FE">
        <w:rPr>
          <w:rFonts w:ascii="Times New Roman" w:hAnsi="Times New Roman" w:cs="Times New Roman"/>
          <w:sz w:val="28"/>
          <w:szCs w:val="28"/>
        </w:rPr>
        <w:t>времени рассмотрения</w:t>
      </w:r>
      <w:r w:rsidR="0070467A">
        <w:rPr>
          <w:rFonts w:ascii="Times New Roman" w:hAnsi="Times New Roman" w:cs="Times New Roman"/>
          <w:sz w:val="28"/>
          <w:szCs w:val="28"/>
        </w:rPr>
        <w:t xml:space="preserve"> </w:t>
      </w:r>
      <w:r w:rsidR="00024A97">
        <w:rPr>
          <w:rFonts w:ascii="Times New Roman" w:hAnsi="Times New Roman" w:cs="Times New Roman"/>
          <w:sz w:val="28"/>
          <w:szCs w:val="28"/>
        </w:rPr>
        <w:t>заявлений</w:t>
      </w:r>
      <w:r w:rsidR="0070467A">
        <w:rPr>
          <w:rFonts w:ascii="Times New Roman" w:hAnsi="Times New Roman" w:cs="Times New Roman"/>
          <w:sz w:val="28"/>
          <w:szCs w:val="28"/>
        </w:rPr>
        <w:t xml:space="preserve"> и прилагаемых к </w:t>
      </w:r>
      <w:r w:rsidR="00024A97">
        <w:rPr>
          <w:rFonts w:ascii="Times New Roman" w:hAnsi="Times New Roman" w:cs="Times New Roman"/>
          <w:sz w:val="28"/>
          <w:szCs w:val="28"/>
        </w:rPr>
        <w:t xml:space="preserve">ним </w:t>
      </w:r>
      <w:r w:rsidR="0070467A">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w:t>
      </w:r>
      <w:r w:rsidR="00E36387" w:rsidRPr="00CF54FE">
        <w:rPr>
          <w:rFonts w:ascii="Times New Roman" w:hAnsi="Times New Roman" w:cs="Times New Roman"/>
          <w:sz w:val="28"/>
          <w:szCs w:val="28"/>
        </w:rPr>
        <w:t>предпринимательской деятельности;</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сокращение перечня</w:t>
      </w:r>
      <w:r w:rsidR="00FC05DB"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предпринимательской деятельности </w:t>
      </w:r>
      <w:r w:rsidR="00FC05DB" w:rsidRPr="00CF54FE">
        <w:rPr>
          <w:rFonts w:ascii="Times New Roman" w:hAnsi="Times New Roman" w:cs="Times New Roman"/>
          <w:sz w:val="28"/>
          <w:szCs w:val="28"/>
        </w:rPr>
        <w:t>документов</w:t>
      </w:r>
      <w:r w:rsidR="00E36387" w:rsidRPr="00CF54FE">
        <w:rPr>
          <w:rFonts w:ascii="Times New Roman" w:hAnsi="Times New Roman" w:cs="Times New Roman"/>
          <w:sz w:val="28"/>
          <w:szCs w:val="28"/>
        </w:rPr>
        <w:t>, представляемых</w:t>
      </w:r>
      <w:r w:rsidR="00024A97">
        <w:rPr>
          <w:rFonts w:ascii="Times New Roman" w:hAnsi="Times New Roman" w:cs="Times New Roman"/>
          <w:sz w:val="28"/>
          <w:szCs w:val="28"/>
        </w:rPr>
        <w:t xml:space="preserve"> хозяйствующими субъектами </w:t>
      </w:r>
      <w:r w:rsidR="00A610BC">
        <w:rPr>
          <w:rFonts w:ascii="Times New Roman" w:hAnsi="Times New Roman" w:cs="Times New Roman"/>
          <w:sz w:val="28"/>
          <w:szCs w:val="28"/>
        </w:rPr>
        <w:t>в органы власти</w:t>
      </w:r>
      <w:r w:rsidR="00024A97">
        <w:rPr>
          <w:rFonts w:ascii="Times New Roman" w:hAnsi="Times New Roman" w:cs="Times New Roman"/>
          <w:sz w:val="28"/>
          <w:szCs w:val="28"/>
        </w:rPr>
        <w:t>;</w:t>
      </w:r>
    </w:p>
    <w:p w:rsidR="00024A97"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п</w:t>
      </w:r>
      <w:r w:rsidR="00FC05DB" w:rsidRPr="00CF54FE">
        <w:rPr>
          <w:rFonts w:ascii="Times New Roman" w:hAnsi="Times New Roman" w:cs="Times New Roman"/>
          <w:sz w:val="28"/>
          <w:szCs w:val="28"/>
        </w:rPr>
        <w:t xml:space="preserve">овышение </w:t>
      </w:r>
      <w:r w:rsidR="005457C5">
        <w:rPr>
          <w:rFonts w:ascii="Times New Roman" w:hAnsi="Times New Roman" w:cs="Times New Roman"/>
          <w:sz w:val="28"/>
          <w:szCs w:val="28"/>
        </w:rPr>
        <w:t>открытости</w:t>
      </w:r>
      <w:r w:rsidR="00A610BC">
        <w:rPr>
          <w:rFonts w:ascii="Times New Roman" w:hAnsi="Times New Roman" w:cs="Times New Roman"/>
          <w:sz w:val="28"/>
          <w:szCs w:val="28"/>
        </w:rPr>
        <w:t xml:space="preserve"> </w:t>
      </w:r>
      <w:r w:rsidR="00FC05DB" w:rsidRPr="00CF54FE">
        <w:rPr>
          <w:rFonts w:ascii="Times New Roman" w:hAnsi="Times New Roman" w:cs="Times New Roman"/>
          <w:sz w:val="28"/>
          <w:szCs w:val="28"/>
        </w:rPr>
        <w:t>в процессе рассмотрения</w:t>
      </w:r>
      <w:r w:rsidR="00E36387" w:rsidRPr="00CF54FE">
        <w:rPr>
          <w:rFonts w:ascii="Times New Roman" w:hAnsi="Times New Roman" w:cs="Times New Roman"/>
          <w:sz w:val="28"/>
          <w:szCs w:val="28"/>
        </w:rPr>
        <w:t xml:space="preserve"> </w:t>
      </w:r>
      <w:r w:rsidR="00024A97">
        <w:rPr>
          <w:rFonts w:ascii="Times New Roman" w:hAnsi="Times New Roman" w:cs="Times New Roman"/>
          <w:sz w:val="28"/>
          <w:szCs w:val="28"/>
        </w:rPr>
        <w:t xml:space="preserve">органами власти </w:t>
      </w:r>
      <w:r w:rsidR="00A610BC">
        <w:rPr>
          <w:rFonts w:ascii="Times New Roman" w:hAnsi="Times New Roman" w:cs="Times New Roman"/>
          <w:sz w:val="28"/>
          <w:szCs w:val="28"/>
        </w:rPr>
        <w:t>представленных хозяйствующими субъектами</w:t>
      </w:r>
      <w:r w:rsidR="00A610BC" w:rsidRPr="00CF54FE">
        <w:rPr>
          <w:rFonts w:ascii="Times New Roman" w:hAnsi="Times New Roman" w:cs="Times New Roman"/>
          <w:sz w:val="28"/>
          <w:szCs w:val="28"/>
        </w:rPr>
        <w:t xml:space="preserve"> </w:t>
      </w:r>
      <w:r w:rsidR="00E36387" w:rsidRPr="00CF54FE">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необходимых для</w:t>
      </w:r>
      <w:r w:rsidR="00024A97">
        <w:rPr>
          <w:rFonts w:ascii="Times New Roman" w:hAnsi="Times New Roman" w:cs="Times New Roman"/>
          <w:sz w:val="28"/>
          <w:szCs w:val="28"/>
        </w:rPr>
        <w:t xml:space="preserve"> ведения предпринимательской деятельности. </w:t>
      </w:r>
      <w:r w:rsidR="00FE3DA9">
        <w:rPr>
          <w:rFonts w:ascii="Times New Roman" w:hAnsi="Times New Roman" w:cs="Times New Roman"/>
          <w:sz w:val="28"/>
          <w:szCs w:val="28"/>
        </w:rPr>
        <w:t xml:space="preserve">         </w:t>
      </w:r>
    </w:p>
    <w:p w:rsidR="00024A97"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E3DA9">
        <w:rPr>
          <w:rFonts w:ascii="Times New Roman" w:hAnsi="Times New Roman" w:cs="Times New Roman"/>
          <w:sz w:val="28"/>
          <w:szCs w:val="28"/>
        </w:rPr>
        <w:t xml:space="preserve">5.2. С целью </w:t>
      </w:r>
      <w:r w:rsidR="00A610BC">
        <w:rPr>
          <w:rFonts w:ascii="Times New Roman" w:hAnsi="Times New Roman" w:cs="Times New Roman"/>
          <w:sz w:val="28"/>
          <w:szCs w:val="28"/>
        </w:rPr>
        <w:t xml:space="preserve">уменьшения </w:t>
      </w:r>
      <w:r w:rsidR="00FE3DA9">
        <w:rPr>
          <w:rFonts w:ascii="Times New Roman" w:hAnsi="Times New Roman" w:cs="Times New Roman"/>
          <w:sz w:val="28"/>
          <w:szCs w:val="28"/>
        </w:rPr>
        <w:t>экономических ограничений</w:t>
      </w:r>
      <w:r w:rsidR="00491E22">
        <w:rPr>
          <w:rFonts w:ascii="Times New Roman" w:hAnsi="Times New Roman" w:cs="Times New Roman"/>
          <w:sz w:val="28"/>
          <w:szCs w:val="28"/>
        </w:rPr>
        <w:t xml:space="preserve"> мо</w:t>
      </w:r>
      <w:r w:rsidR="00A610BC">
        <w:rPr>
          <w:rFonts w:ascii="Times New Roman" w:hAnsi="Times New Roman" w:cs="Times New Roman"/>
          <w:sz w:val="28"/>
          <w:szCs w:val="28"/>
        </w:rPr>
        <w:t>же</w:t>
      </w:r>
      <w:r w:rsidR="00491E22">
        <w:rPr>
          <w:rFonts w:ascii="Times New Roman" w:hAnsi="Times New Roman" w:cs="Times New Roman"/>
          <w:sz w:val="28"/>
          <w:szCs w:val="28"/>
        </w:rPr>
        <w:t xml:space="preserve">т </w:t>
      </w:r>
      <w:r w:rsidR="00FE3DA9">
        <w:rPr>
          <w:rFonts w:ascii="Times New Roman" w:hAnsi="Times New Roman" w:cs="Times New Roman"/>
          <w:sz w:val="28"/>
          <w:szCs w:val="28"/>
        </w:rPr>
        <w:t xml:space="preserve"> </w:t>
      </w:r>
      <w:r w:rsidR="00491E22">
        <w:rPr>
          <w:rFonts w:ascii="Times New Roman" w:hAnsi="Times New Roman" w:cs="Times New Roman"/>
          <w:sz w:val="28"/>
          <w:szCs w:val="28"/>
        </w:rPr>
        <w:t>использова</w:t>
      </w:r>
      <w:r w:rsidR="00235047">
        <w:rPr>
          <w:rFonts w:ascii="Times New Roman" w:hAnsi="Times New Roman" w:cs="Times New Roman"/>
          <w:sz w:val="28"/>
          <w:szCs w:val="28"/>
        </w:rPr>
        <w:t>т</w:t>
      </w:r>
      <w:r w:rsidR="00491E22">
        <w:rPr>
          <w:rFonts w:ascii="Times New Roman" w:hAnsi="Times New Roman" w:cs="Times New Roman"/>
          <w:sz w:val="28"/>
          <w:szCs w:val="28"/>
        </w:rPr>
        <w:t>ь</w:t>
      </w:r>
      <w:r w:rsidR="00235047">
        <w:rPr>
          <w:rFonts w:ascii="Times New Roman" w:hAnsi="Times New Roman" w:cs="Times New Roman"/>
          <w:sz w:val="28"/>
          <w:szCs w:val="28"/>
        </w:rPr>
        <w:t>ся</w:t>
      </w:r>
      <w:r w:rsidR="00A610BC">
        <w:rPr>
          <w:rFonts w:ascii="Times New Roman" w:hAnsi="Times New Roman" w:cs="Times New Roman"/>
          <w:sz w:val="28"/>
          <w:szCs w:val="28"/>
        </w:rPr>
        <w:t xml:space="preserve"> в частности</w:t>
      </w:r>
      <w:r w:rsidR="00235047">
        <w:rPr>
          <w:rFonts w:ascii="Times New Roman" w:hAnsi="Times New Roman" w:cs="Times New Roman"/>
          <w:sz w:val="28"/>
          <w:szCs w:val="28"/>
        </w:rPr>
        <w:t>:</w:t>
      </w:r>
      <w:r w:rsidR="005312AC">
        <w:rPr>
          <w:rFonts w:ascii="Times New Roman" w:hAnsi="Times New Roman" w:cs="Times New Roman"/>
          <w:sz w:val="28"/>
          <w:szCs w:val="28"/>
        </w:rPr>
        <w:t xml:space="preserve">        </w:t>
      </w:r>
    </w:p>
    <w:p w:rsidR="00445A73" w:rsidRPr="00CF54FE"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A24139">
        <w:rPr>
          <w:rFonts w:ascii="Times New Roman" w:hAnsi="Times New Roman" w:cs="Times New Roman"/>
          <w:sz w:val="28"/>
          <w:szCs w:val="28"/>
        </w:rPr>
        <w:t>- о</w:t>
      </w:r>
      <w:r w:rsidR="00FC05DB" w:rsidRPr="00A24139">
        <w:rPr>
          <w:rFonts w:ascii="Times New Roman" w:hAnsi="Times New Roman" w:cs="Times New Roman"/>
          <w:sz w:val="28"/>
          <w:szCs w:val="28"/>
        </w:rPr>
        <w:t>блегчение доступности</w:t>
      </w:r>
      <w:r w:rsidR="004A58F3" w:rsidRPr="00A24139">
        <w:rPr>
          <w:rFonts w:ascii="Times New Roman" w:hAnsi="Times New Roman" w:cs="Times New Roman"/>
          <w:sz w:val="28"/>
          <w:szCs w:val="28"/>
        </w:rPr>
        <w:t xml:space="preserve"> финансовых ресурсов для предпринимателей</w:t>
      </w:r>
      <w:r w:rsidR="00A24139">
        <w:rPr>
          <w:rFonts w:ascii="Times New Roman" w:hAnsi="Times New Roman" w:cs="Times New Roman"/>
          <w:sz w:val="28"/>
          <w:szCs w:val="28"/>
        </w:rPr>
        <w:t xml:space="preserve"> (в том числе </w:t>
      </w:r>
      <w:r w:rsidR="00A24139" w:rsidRPr="00CF54FE">
        <w:rPr>
          <w:rFonts w:ascii="Times New Roman" w:hAnsi="Times New Roman" w:cs="Times New Roman"/>
          <w:sz w:val="28"/>
          <w:szCs w:val="28"/>
        </w:rPr>
        <w:t>льготное кредитование</w:t>
      </w:r>
      <w:r w:rsidR="00A24139">
        <w:rPr>
          <w:rFonts w:ascii="Times New Roman" w:hAnsi="Times New Roman" w:cs="Times New Roman"/>
          <w:sz w:val="28"/>
          <w:szCs w:val="28"/>
        </w:rPr>
        <w:t>)</w:t>
      </w:r>
      <w:r w:rsidR="00082591">
        <w:rPr>
          <w:rFonts w:ascii="Times New Roman" w:hAnsi="Times New Roman" w:cs="Times New Roman"/>
          <w:sz w:val="28"/>
          <w:szCs w:val="28"/>
        </w:rPr>
        <w:t>;</w:t>
      </w:r>
    </w:p>
    <w:p w:rsidR="00082591"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82591">
        <w:rPr>
          <w:rFonts w:ascii="Times New Roman" w:hAnsi="Times New Roman" w:cs="Times New Roman"/>
          <w:sz w:val="28"/>
          <w:szCs w:val="28"/>
        </w:rPr>
        <w:t xml:space="preserve">        - </w:t>
      </w:r>
      <w:r w:rsidR="00082591" w:rsidRPr="0001726E">
        <w:rPr>
          <w:rFonts w:ascii="Times New Roman" w:hAnsi="Times New Roman" w:cs="Times New Roman"/>
          <w:sz w:val="28"/>
          <w:szCs w:val="28"/>
        </w:rPr>
        <w:t>адресное</w:t>
      </w:r>
      <w:r w:rsidR="00082591">
        <w:rPr>
          <w:rFonts w:ascii="Times New Roman" w:hAnsi="Times New Roman" w:cs="Times New Roman"/>
          <w:sz w:val="28"/>
          <w:szCs w:val="28"/>
        </w:rPr>
        <w:t xml:space="preserve"> представление </w:t>
      </w:r>
      <w:r w:rsidR="00082591" w:rsidRPr="00CF54FE">
        <w:rPr>
          <w:rFonts w:ascii="Times New Roman" w:hAnsi="Times New Roman" w:cs="Times New Roman"/>
          <w:sz w:val="28"/>
          <w:szCs w:val="28"/>
        </w:rPr>
        <w:t>государственн</w:t>
      </w:r>
      <w:r w:rsidR="00082591">
        <w:rPr>
          <w:rFonts w:ascii="Times New Roman" w:hAnsi="Times New Roman" w:cs="Times New Roman"/>
          <w:sz w:val="28"/>
          <w:szCs w:val="28"/>
        </w:rPr>
        <w:t>ых</w:t>
      </w:r>
      <w:r w:rsidR="00082591" w:rsidRPr="00CF54FE">
        <w:rPr>
          <w:rFonts w:ascii="Times New Roman" w:hAnsi="Times New Roman" w:cs="Times New Roman"/>
          <w:sz w:val="28"/>
          <w:szCs w:val="28"/>
        </w:rPr>
        <w:t xml:space="preserve"> </w:t>
      </w:r>
      <w:r w:rsidR="00082591">
        <w:rPr>
          <w:rFonts w:ascii="Times New Roman" w:hAnsi="Times New Roman" w:cs="Times New Roman"/>
          <w:sz w:val="28"/>
          <w:szCs w:val="28"/>
        </w:rPr>
        <w:t>и муниципальных преференций</w:t>
      </w:r>
      <w:r w:rsidR="00082591">
        <w:rPr>
          <w:rStyle w:val="a7"/>
          <w:rFonts w:ascii="Times New Roman" w:hAnsi="Times New Roman" w:cs="Times New Roman"/>
          <w:sz w:val="28"/>
          <w:szCs w:val="28"/>
        </w:rPr>
        <w:footnoteReference w:id="1"/>
      </w:r>
      <w:r w:rsidR="00082591" w:rsidRPr="00CF54FE">
        <w:rPr>
          <w:rFonts w:ascii="Times New Roman" w:hAnsi="Times New Roman" w:cs="Times New Roman"/>
          <w:sz w:val="28"/>
          <w:szCs w:val="28"/>
        </w:rPr>
        <w:t>;</w:t>
      </w:r>
    </w:p>
    <w:p w:rsidR="00FC05DB" w:rsidRDefault="00474BB6" w:rsidP="00082591">
      <w:pPr>
        <w:spacing w:after="0" w:line="240" w:lineRule="auto"/>
        <w:ind w:left="-284" w:right="-284"/>
        <w:jc w:val="both"/>
        <w:rPr>
          <w:rFonts w:ascii="Times New Roman" w:hAnsi="Times New Roman" w:cs="Times New Roman"/>
          <w:sz w:val="28"/>
          <w:szCs w:val="28"/>
        </w:rPr>
      </w:pPr>
      <w:r w:rsidRPr="00CF54FE">
        <w:rPr>
          <w:rFonts w:ascii="Times New Roman" w:hAnsi="Times New Roman" w:cs="Times New Roman"/>
          <w:sz w:val="28"/>
          <w:szCs w:val="28"/>
        </w:rPr>
        <w:t xml:space="preserve"> </w:t>
      </w:r>
      <w:r w:rsidR="00082591">
        <w:rPr>
          <w:rFonts w:ascii="Times New Roman" w:hAnsi="Times New Roman" w:cs="Times New Roman"/>
          <w:sz w:val="28"/>
          <w:szCs w:val="28"/>
        </w:rPr>
        <w:t xml:space="preserve">             </w:t>
      </w:r>
      <w:r w:rsidR="00FE3DA9">
        <w:rPr>
          <w:rFonts w:ascii="Times New Roman" w:hAnsi="Times New Roman" w:cs="Times New Roman"/>
          <w:sz w:val="28"/>
          <w:szCs w:val="28"/>
        </w:rPr>
        <w:t xml:space="preserve">- </w:t>
      </w:r>
      <w:r w:rsidR="00FC05DB" w:rsidRPr="00CF54FE">
        <w:rPr>
          <w:rFonts w:ascii="Times New Roman" w:hAnsi="Times New Roman" w:cs="Times New Roman"/>
          <w:sz w:val="28"/>
          <w:szCs w:val="28"/>
        </w:rPr>
        <w:t>бизнес</w:t>
      </w:r>
      <w:r w:rsidR="008D4AD3">
        <w:rPr>
          <w:rFonts w:ascii="Times New Roman" w:hAnsi="Times New Roman" w:cs="Times New Roman"/>
          <w:sz w:val="28"/>
          <w:szCs w:val="28"/>
        </w:rPr>
        <w:t>-</w:t>
      </w:r>
      <w:r w:rsidR="00FC05DB" w:rsidRPr="00CF54FE">
        <w:rPr>
          <w:rFonts w:ascii="Times New Roman" w:hAnsi="Times New Roman" w:cs="Times New Roman"/>
          <w:sz w:val="28"/>
          <w:szCs w:val="28"/>
        </w:rPr>
        <w:t>инкубаторы</w:t>
      </w:r>
      <w:r w:rsidR="00FE3DA9">
        <w:rPr>
          <w:rFonts w:ascii="Times New Roman" w:hAnsi="Times New Roman" w:cs="Times New Roman"/>
          <w:sz w:val="28"/>
          <w:szCs w:val="28"/>
        </w:rPr>
        <w:t xml:space="preserve"> и технопарки</w:t>
      </w:r>
      <w:r w:rsidR="00235047">
        <w:rPr>
          <w:rFonts w:ascii="Times New Roman" w:hAnsi="Times New Roman" w:cs="Times New Roman"/>
          <w:sz w:val="28"/>
          <w:szCs w:val="28"/>
        </w:rPr>
        <w:t>.</w:t>
      </w:r>
      <w:r w:rsidR="00FC05DB" w:rsidRPr="00CF54FE">
        <w:rPr>
          <w:rFonts w:ascii="Times New Roman" w:hAnsi="Times New Roman" w:cs="Times New Roman"/>
          <w:sz w:val="28"/>
          <w:szCs w:val="28"/>
        </w:rPr>
        <w:t xml:space="preserve"> </w:t>
      </w:r>
    </w:p>
    <w:p w:rsidR="00FC05DB" w:rsidRPr="00CF54FE" w:rsidRDefault="0023504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Одним из обязательных условий </w:t>
      </w:r>
      <w:r w:rsidR="005457C5">
        <w:rPr>
          <w:rFonts w:ascii="Times New Roman" w:hAnsi="Times New Roman" w:cs="Times New Roman"/>
          <w:sz w:val="28"/>
          <w:szCs w:val="28"/>
        </w:rPr>
        <w:t>уменьшения</w:t>
      </w:r>
      <w:r>
        <w:rPr>
          <w:rFonts w:ascii="Times New Roman" w:hAnsi="Times New Roman" w:cs="Times New Roman"/>
          <w:sz w:val="28"/>
          <w:szCs w:val="28"/>
        </w:rPr>
        <w:t xml:space="preserve"> барьеров, является </w:t>
      </w:r>
      <w:r w:rsidR="00474BB6" w:rsidRPr="00CF54FE">
        <w:rPr>
          <w:rFonts w:ascii="Times New Roman" w:hAnsi="Times New Roman" w:cs="Times New Roman"/>
          <w:sz w:val="28"/>
          <w:szCs w:val="28"/>
        </w:rPr>
        <w:t xml:space="preserve">        </w:t>
      </w:r>
      <w:r>
        <w:rPr>
          <w:rFonts w:ascii="Times New Roman" w:hAnsi="Times New Roman" w:cs="Times New Roman"/>
          <w:sz w:val="28"/>
          <w:szCs w:val="28"/>
        </w:rPr>
        <w:t xml:space="preserve">открытость деятельности органов власти и </w:t>
      </w:r>
      <w:r w:rsidR="00FC05DB" w:rsidRPr="002777BA">
        <w:rPr>
          <w:rFonts w:ascii="Times New Roman" w:hAnsi="Times New Roman" w:cs="Times New Roman"/>
          <w:sz w:val="28"/>
          <w:szCs w:val="28"/>
        </w:rPr>
        <w:t xml:space="preserve">информационная </w:t>
      </w:r>
      <w:r w:rsidR="00FC05DB" w:rsidRPr="00A24139">
        <w:rPr>
          <w:rFonts w:ascii="Times New Roman" w:hAnsi="Times New Roman" w:cs="Times New Roman"/>
          <w:sz w:val="28"/>
          <w:szCs w:val="28"/>
        </w:rPr>
        <w:t>поддержка</w:t>
      </w:r>
      <w:r w:rsidR="00A24139">
        <w:rPr>
          <w:rFonts w:ascii="Times New Roman" w:hAnsi="Times New Roman" w:cs="Times New Roman"/>
          <w:sz w:val="28"/>
          <w:szCs w:val="28"/>
        </w:rPr>
        <w:t xml:space="preserve"> </w:t>
      </w:r>
      <w:r w:rsidR="00A24139">
        <w:rPr>
          <w:rFonts w:ascii="Times New Roman" w:hAnsi="Times New Roman" w:cs="Times New Roman"/>
          <w:sz w:val="28"/>
          <w:szCs w:val="28"/>
        </w:rPr>
        <w:lastRenderedPageBreak/>
        <w:t xml:space="preserve">предпринимателей в части информирования об улучшении условий предпринимательской деятельности. </w:t>
      </w:r>
      <w:r w:rsidR="004A58F3" w:rsidRPr="00CF54FE">
        <w:rPr>
          <w:rFonts w:ascii="Times New Roman" w:hAnsi="Times New Roman" w:cs="Times New Roman"/>
          <w:sz w:val="28"/>
          <w:szCs w:val="28"/>
        </w:rPr>
        <w:t xml:space="preserve"> </w:t>
      </w:r>
    </w:p>
    <w:p w:rsidR="00EC2758" w:rsidRPr="00CF54FE" w:rsidRDefault="00EC2758" w:rsidP="00082591">
      <w:pPr>
        <w:spacing w:after="0" w:line="240" w:lineRule="auto"/>
        <w:ind w:left="-284" w:right="-284"/>
        <w:jc w:val="both"/>
        <w:rPr>
          <w:rFonts w:ascii="Times New Roman" w:hAnsi="Times New Roman" w:cs="Times New Roman"/>
          <w:sz w:val="28"/>
          <w:szCs w:val="28"/>
        </w:rPr>
      </w:pPr>
    </w:p>
    <w:p w:rsidR="00EC2758" w:rsidRPr="00CF54FE" w:rsidRDefault="002777BA"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6. </w:t>
      </w:r>
      <w:r w:rsidR="004A58F3" w:rsidRPr="00CF54FE">
        <w:rPr>
          <w:rFonts w:ascii="Times New Roman" w:hAnsi="Times New Roman" w:cs="Times New Roman"/>
          <w:sz w:val="28"/>
          <w:szCs w:val="28"/>
        </w:rPr>
        <w:t>Устранение, снижение административных барьеров о</w:t>
      </w:r>
      <w:r w:rsidR="00EC2758" w:rsidRPr="00CF54FE">
        <w:rPr>
          <w:rFonts w:ascii="Times New Roman" w:hAnsi="Times New Roman" w:cs="Times New Roman"/>
          <w:sz w:val="28"/>
          <w:szCs w:val="28"/>
        </w:rPr>
        <w:t>существляется</w:t>
      </w:r>
      <w:r w:rsidR="008A1333">
        <w:rPr>
          <w:rFonts w:ascii="Times New Roman" w:hAnsi="Times New Roman" w:cs="Times New Roman"/>
          <w:sz w:val="28"/>
          <w:szCs w:val="28"/>
        </w:rPr>
        <w:t xml:space="preserve"> в рамках реализации «дорожной карты</w:t>
      </w:r>
      <w:r w:rsidR="00EC2758" w:rsidRPr="00CF54FE">
        <w:rPr>
          <w:rFonts w:ascii="Times New Roman" w:hAnsi="Times New Roman" w:cs="Times New Roman"/>
          <w:sz w:val="28"/>
          <w:szCs w:val="28"/>
        </w:rPr>
        <w:t>»</w:t>
      </w:r>
      <w:r>
        <w:rPr>
          <w:rFonts w:ascii="Times New Roman" w:hAnsi="Times New Roman" w:cs="Times New Roman"/>
          <w:sz w:val="28"/>
          <w:szCs w:val="28"/>
        </w:rPr>
        <w:t xml:space="preserve"> либо путем оперативного решения</w:t>
      </w:r>
      <w:r w:rsidR="005312AC">
        <w:rPr>
          <w:rFonts w:ascii="Times New Roman" w:hAnsi="Times New Roman" w:cs="Times New Roman"/>
          <w:sz w:val="28"/>
          <w:szCs w:val="28"/>
        </w:rPr>
        <w:t xml:space="preserve"> вопроса</w:t>
      </w:r>
      <w:r w:rsidR="008A1333">
        <w:rPr>
          <w:rFonts w:ascii="Times New Roman" w:hAnsi="Times New Roman" w:cs="Times New Roman"/>
          <w:sz w:val="28"/>
          <w:szCs w:val="28"/>
        </w:rPr>
        <w:t xml:space="preserve"> компетентными органами власти. </w:t>
      </w:r>
    </w:p>
    <w:p w:rsidR="008A1333"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3E738B" w:rsidRPr="00491E22"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A1333">
        <w:rPr>
          <w:rFonts w:ascii="Times New Roman" w:hAnsi="Times New Roman" w:cs="Times New Roman"/>
          <w:sz w:val="28"/>
          <w:szCs w:val="28"/>
        </w:rPr>
        <w:t xml:space="preserve">         Д</w:t>
      </w:r>
      <w:r>
        <w:rPr>
          <w:rFonts w:ascii="Times New Roman" w:hAnsi="Times New Roman" w:cs="Times New Roman"/>
          <w:sz w:val="28"/>
          <w:szCs w:val="28"/>
        </w:rPr>
        <w:t>ля ознакомления</w:t>
      </w:r>
      <w:r w:rsidR="008A1333">
        <w:rPr>
          <w:rFonts w:ascii="Times New Roman" w:hAnsi="Times New Roman" w:cs="Times New Roman"/>
          <w:sz w:val="28"/>
          <w:szCs w:val="28"/>
        </w:rPr>
        <w:t xml:space="preserve"> и использования в работе рекомендуются следующие источники</w:t>
      </w:r>
      <w:r w:rsidR="003E738B" w:rsidRPr="00491E22">
        <w:rPr>
          <w:rFonts w:ascii="Times New Roman" w:hAnsi="Times New Roman" w:cs="Times New Roman"/>
          <w:sz w:val="28"/>
          <w:szCs w:val="28"/>
        </w:rPr>
        <w:t>:</w:t>
      </w:r>
    </w:p>
    <w:p w:rsidR="00F820D8" w:rsidRDefault="00F820D8"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0070467A">
        <w:rPr>
          <w:rFonts w:ascii="Times New Roman" w:eastAsia="Times New Roman" w:hAnsi="Times New Roman" w:cs="Times New Roman"/>
          <w:kern w:val="36"/>
          <w:sz w:val="28"/>
          <w:szCs w:val="28"/>
        </w:rPr>
        <w:t xml:space="preserve">1. </w:t>
      </w:r>
      <w:r w:rsidRPr="00F820D8">
        <w:rPr>
          <w:rFonts w:ascii="Times New Roman" w:eastAsia="Times New Roman" w:hAnsi="Times New Roman" w:cs="Times New Roman"/>
          <w:kern w:val="36"/>
          <w:sz w:val="28"/>
          <w:szCs w:val="28"/>
        </w:rPr>
        <w:t>Научно-п</w:t>
      </w:r>
      <w:r>
        <w:rPr>
          <w:rFonts w:ascii="Times New Roman" w:eastAsia="Times New Roman" w:hAnsi="Times New Roman" w:cs="Times New Roman"/>
          <w:kern w:val="36"/>
          <w:sz w:val="28"/>
          <w:szCs w:val="28"/>
        </w:rPr>
        <w:t>рактический электронный журнал «</w:t>
      </w:r>
      <w:r w:rsidRPr="00F820D8">
        <w:rPr>
          <w:rFonts w:ascii="Times New Roman" w:eastAsia="Times New Roman" w:hAnsi="Times New Roman" w:cs="Times New Roman"/>
          <w:kern w:val="36"/>
          <w:sz w:val="28"/>
          <w:szCs w:val="28"/>
        </w:rPr>
        <w:t>Российское</w:t>
      </w:r>
      <w:r>
        <w:rPr>
          <w:rFonts w:ascii="Times New Roman" w:eastAsia="Times New Roman" w:hAnsi="Times New Roman" w:cs="Times New Roman"/>
          <w:kern w:val="36"/>
          <w:sz w:val="28"/>
          <w:szCs w:val="28"/>
        </w:rPr>
        <w:t xml:space="preserve"> конкурентное право и экономика», публикуется на официальном сайте ФАС России по адресу:</w:t>
      </w:r>
      <w:r w:rsidRPr="00F820D8">
        <w:rPr>
          <w:rFonts w:ascii="Times New Roman" w:eastAsia="Times New Roman" w:hAnsi="Times New Roman" w:cs="Times New Roman"/>
          <w:kern w:val="36"/>
          <w:sz w:val="28"/>
          <w:szCs w:val="28"/>
        </w:rPr>
        <w:t xml:space="preserve"> </w:t>
      </w:r>
      <w:hyperlink r:id="rId9" w:history="1">
        <w:r w:rsidR="008A1333" w:rsidRPr="00A12AD3">
          <w:rPr>
            <w:rStyle w:val="a8"/>
            <w:rFonts w:ascii="Times New Roman" w:eastAsia="Times New Roman" w:hAnsi="Times New Roman" w:cs="Times New Roman"/>
            <w:kern w:val="36"/>
            <w:sz w:val="28"/>
            <w:szCs w:val="28"/>
          </w:rPr>
          <w:t>http://fas.gov.ru/eljournal/</w:t>
        </w:r>
      </w:hyperlink>
      <w:r w:rsidR="0070467A">
        <w:rPr>
          <w:rFonts w:ascii="Times New Roman" w:eastAsia="Times New Roman" w:hAnsi="Times New Roman" w:cs="Times New Roman"/>
          <w:kern w:val="36"/>
          <w:sz w:val="28"/>
          <w:szCs w:val="28"/>
        </w:rPr>
        <w:t>;</w:t>
      </w:r>
    </w:p>
    <w:p w:rsidR="008A1333" w:rsidRPr="00F820D8" w:rsidRDefault="008A1333"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2.  Конкурентное право России. / Под ред. И.Ю. Артемьева, А.Г. Сушкевича. – М., 2014;</w:t>
      </w:r>
    </w:p>
    <w:p w:rsidR="00491E22" w:rsidRDefault="00210D61"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color w:val="000000"/>
          <w:kern w:val="36"/>
          <w:sz w:val="28"/>
          <w:szCs w:val="28"/>
        </w:rPr>
        <w:t xml:space="preserve">           3. </w:t>
      </w:r>
      <w:r w:rsidR="00235047" w:rsidRPr="00491E22">
        <w:rPr>
          <w:rFonts w:ascii="Times New Roman" w:hAnsi="Times New Roman" w:cs="Times New Roman"/>
          <w:color w:val="000000"/>
          <w:kern w:val="36"/>
          <w:sz w:val="28"/>
          <w:szCs w:val="28"/>
        </w:rPr>
        <w:t>Антимонопольная политика государства</w:t>
      </w:r>
      <w:r w:rsidR="008A1333">
        <w:rPr>
          <w:rFonts w:ascii="Times New Roman" w:hAnsi="Times New Roman" w:cs="Times New Roman"/>
          <w:color w:val="000000"/>
          <w:kern w:val="36"/>
          <w:sz w:val="28"/>
          <w:szCs w:val="28"/>
        </w:rPr>
        <w:t xml:space="preserve">. </w:t>
      </w:r>
      <w:r w:rsidR="0027015E" w:rsidRPr="00491E22">
        <w:rPr>
          <w:rFonts w:ascii="Times New Roman" w:hAnsi="Times New Roman" w:cs="Times New Roman"/>
          <w:color w:val="000000"/>
          <w:kern w:val="36"/>
          <w:sz w:val="28"/>
          <w:szCs w:val="28"/>
        </w:rPr>
        <w:t xml:space="preserve">Князева И.В. </w:t>
      </w:r>
      <w:r w:rsidR="008A1333" w:rsidRPr="00210D61">
        <w:rPr>
          <w:rFonts w:ascii="Times New Roman" w:hAnsi="Times New Roman" w:cs="Times New Roman"/>
          <w:color w:val="000000"/>
          <w:kern w:val="36"/>
          <w:sz w:val="28"/>
          <w:szCs w:val="28"/>
        </w:rPr>
        <w:t xml:space="preserve">– </w:t>
      </w:r>
      <w:r w:rsidRPr="00210D61">
        <w:rPr>
          <w:rFonts w:ascii="Times New Roman" w:hAnsi="Times New Roman" w:cs="Times New Roman"/>
          <w:color w:val="000000"/>
          <w:sz w:val="28"/>
          <w:szCs w:val="28"/>
        </w:rPr>
        <w:t>Изд-во СибАГС</w:t>
      </w:r>
      <w:r w:rsidR="008A1333" w:rsidRPr="00210D61">
        <w:rPr>
          <w:rFonts w:ascii="Times New Roman" w:hAnsi="Times New Roman" w:cs="Times New Roman"/>
          <w:color w:val="000000"/>
          <w:kern w:val="36"/>
          <w:sz w:val="28"/>
          <w:szCs w:val="28"/>
        </w:rPr>
        <w:t>.,</w:t>
      </w:r>
      <w:r w:rsidR="008A1333">
        <w:rPr>
          <w:rFonts w:ascii="Times New Roman" w:hAnsi="Times New Roman" w:cs="Times New Roman"/>
          <w:color w:val="000000"/>
          <w:kern w:val="36"/>
          <w:sz w:val="28"/>
          <w:szCs w:val="28"/>
        </w:rPr>
        <w:t xml:space="preserve"> 2010</w:t>
      </w:r>
      <w:r w:rsidR="00491E22">
        <w:rPr>
          <w:rFonts w:ascii="Times New Roman" w:hAnsi="Times New Roman" w:cs="Times New Roman"/>
          <w:color w:val="000000"/>
          <w:kern w:val="36"/>
          <w:sz w:val="28"/>
          <w:szCs w:val="28"/>
        </w:rPr>
        <w:t>;</w:t>
      </w:r>
      <w:r w:rsidR="00235047" w:rsidRPr="00491E22">
        <w:rPr>
          <w:rFonts w:ascii="Times New Roman" w:hAnsi="Times New Roman" w:cs="Times New Roman"/>
          <w:color w:val="000000"/>
          <w:kern w:val="36"/>
          <w:sz w:val="28"/>
          <w:szCs w:val="28"/>
        </w:rPr>
        <w:t xml:space="preserve"> </w:t>
      </w:r>
    </w:p>
    <w:p w:rsidR="008D4AD3" w:rsidRPr="00491E22" w:rsidRDefault="00BA6919"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4</w:t>
      </w:r>
      <w:r w:rsidR="00491E22">
        <w:rPr>
          <w:rFonts w:ascii="Times New Roman" w:hAnsi="Times New Roman" w:cs="Times New Roman"/>
          <w:sz w:val="28"/>
          <w:szCs w:val="28"/>
        </w:rPr>
        <w:t xml:space="preserve">. </w:t>
      </w:r>
      <w:r w:rsidR="0070467A">
        <w:rPr>
          <w:rFonts w:ascii="Times New Roman" w:hAnsi="Times New Roman" w:cs="Times New Roman"/>
          <w:sz w:val="28"/>
          <w:szCs w:val="28"/>
        </w:rPr>
        <w:t xml:space="preserve">  </w:t>
      </w:r>
      <w:r w:rsidR="00235047" w:rsidRPr="00491E22">
        <w:rPr>
          <w:rFonts w:ascii="Times New Roman" w:hAnsi="Times New Roman" w:cs="Times New Roman"/>
          <w:sz w:val="28"/>
          <w:szCs w:val="28"/>
        </w:rPr>
        <w:t>Приказ ФАС России от</w:t>
      </w:r>
      <w:r w:rsidR="00491E22" w:rsidRPr="00491E22">
        <w:rPr>
          <w:rFonts w:ascii="Times New Roman" w:hAnsi="Times New Roman" w:cs="Times New Roman"/>
          <w:sz w:val="28"/>
          <w:szCs w:val="28"/>
        </w:rPr>
        <w:t xml:space="preserve"> 29.04.2010 № 220 «Об утверждении порядка </w:t>
      </w:r>
      <w:r w:rsidR="0027015E">
        <w:rPr>
          <w:rFonts w:ascii="Times New Roman" w:hAnsi="Times New Roman" w:cs="Times New Roman"/>
          <w:sz w:val="28"/>
          <w:szCs w:val="28"/>
        </w:rPr>
        <w:t xml:space="preserve"> </w:t>
      </w:r>
      <w:r w:rsidR="00491E22" w:rsidRPr="00491E22">
        <w:rPr>
          <w:rFonts w:ascii="Times New Roman" w:hAnsi="Times New Roman" w:cs="Times New Roman"/>
          <w:sz w:val="28"/>
          <w:szCs w:val="28"/>
        </w:rPr>
        <w:t>проведения анализа состояния конкуренции на товарном рынке»</w:t>
      </w:r>
      <w:r w:rsidR="0070467A">
        <w:rPr>
          <w:rFonts w:ascii="Times New Roman" w:hAnsi="Times New Roman" w:cs="Times New Roman"/>
          <w:sz w:val="28"/>
          <w:szCs w:val="28"/>
        </w:rPr>
        <w:t>.</w:t>
      </w:r>
    </w:p>
    <w:sectPr w:rsidR="008D4AD3" w:rsidRPr="00491E22" w:rsidSect="00301EC4">
      <w:headerReference w:type="default" r:id="rId10"/>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B0" w:rsidRDefault="00C771B0" w:rsidP="00A24139">
      <w:pPr>
        <w:spacing w:after="0" w:line="240" w:lineRule="auto"/>
      </w:pPr>
      <w:r>
        <w:separator/>
      </w:r>
    </w:p>
  </w:endnote>
  <w:endnote w:type="continuationSeparator" w:id="0">
    <w:p w:rsidR="00C771B0" w:rsidRDefault="00C771B0" w:rsidP="00A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B0" w:rsidRDefault="00C771B0" w:rsidP="00A24139">
      <w:pPr>
        <w:spacing w:after="0" w:line="240" w:lineRule="auto"/>
      </w:pPr>
      <w:r>
        <w:separator/>
      </w:r>
    </w:p>
  </w:footnote>
  <w:footnote w:type="continuationSeparator" w:id="0">
    <w:p w:rsidR="00C771B0" w:rsidRDefault="00C771B0" w:rsidP="00A24139">
      <w:pPr>
        <w:spacing w:after="0" w:line="240" w:lineRule="auto"/>
      </w:pPr>
      <w:r>
        <w:continuationSeparator/>
      </w:r>
    </w:p>
  </w:footnote>
  <w:footnote w:id="1">
    <w:p w:rsidR="00082591" w:rsidRPr="0001726E" w:rsidRDefault="00082591" w:rsidP="00082591">
      <w:pPr>
        <w:autoSpaceDE w:val="0"/>
        <w:autoSpaceDN w:val="0"/>
        <w:adjustRightInd w:val="0"/>
        <w:spacing w:after="0" w:line="240" w:lineRule="auto"/>
        <w:ind w:left="-284" w:right="-284" w:firstLine="540"/>
        <w:jc w:val="both"/>
        <w:rPr>
          <w:rFonts w:ascii="Times New Roman" w:hAnsi="Times New Roman" w:cs="Times New Roman"/>
        </w:rPr>
      </w:pPr>
      <w:r>
        <w:rPr>
          <w:rStyle w:val="a7"/>
        </w:rPr>
        <w:footnoteRef/>
      </w:r>
      <w:r>
        <w:t xml:space="preserve"> Г</w:t>
      </w:r>
      <w:r w:rsidRPr="0001726E">
        <w:rPr>
          <w:rFonts w:ascii="Times New Roman" w:hAnsi="Times New Roman" w:cs="Times New Roman"/>
        </w:rPr>
        <w:t>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w:t>
      </w:r>
      <w:r>
        <w:rPr>
          <w:rFonts w:ascii="Times New Roman" w:hAnsi="Times New Roman" w:cs="Times New Roman"/>
        </w:rPr>
        <w:t>нных или муниципальных гарантий (пункт 20 статьи 4 Федерального закона от 26.07.2006 № 135-ФЗ «О защите конкуренции»).</w:t>
      </w:r>
    </w:p>
    <w:p w:rsidR="00082591" w:rsidRDefault="00082591" w:rsidP="00082591">
      <w:pPr>
        <w:pStyle w:val="a5"/>
        <w:ind w:left="-284" w:righ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25909"/>
      <w:docPartObj>
        <w:docPartGallery w:val="Page Numbers (Top of Page)"/>
        <w:docPartUnique/>
      </w:docPartObj>
    </w:sdtPr>
    <w:sdtEndPr/>
    <w:sdtContent>
      <w:p w:rsidR="00301EC4" w:rsidRDefault="00F35FCA">
        <w:pPr>
          <w:pStyle w:val="a9"/>
          <w:jc w:val="center"/>
        </w:pPr>
        <w:r>
          <w:fldChar w:fldCharType="begin"/>
        </w:r>
        <w:r>
          <w:instrText xml:space="preserve"> PAGE   \* MERGEFORMAT </w:instrText>
        </w:r>
        <w:r>
          <w:fldChar w:fldCharType="separate"/>
        </w:r>
        <w:r w:rsidR="00753704">
          <w:rPr>
            <w:noProof/>
          </w:rPr>
          <w:t>4</w:t>
        </w:r>
        <w:r>
          <w:rPr>
            <w:noProof/>
          </w:rPr>
          <w:fldChar w:fldCharType="end"/>
        </w:r>
      </w:p>
    </w:sdtContent>
  </w:sdt>
  <w:p w:rsidR="00301EC4" w:rsidRDefault="00301E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94427"/>
    <w:multiLevelType w:val="hybridMultilevel"/>
    <w:tmpl w:val="AF46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66D7A"/>
    <w:multiLevelType w:val="multilevel"/>
    <w:tmpl w:val="187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81E9C"/>
    <w:multiLevelType w:val="hybridMultilevel"/>
    <w:tmpl w:val="CB7E5FDC"/>
    <w:lvl w:ilvl="0" w:tplc="FE5CA70A">
      <w:start w:val="1"/>
      <w:numFmt w:val="decimal"/>
      <w:lvlText w:val="%1."/>
      <w:lvlJc w:val="left"/>
      <w:pPr>
        <w:ind w:left="1068"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9F768E"/>
    <w:multiLevelType w:val="hybridMultilevel"/>
    <w:tmpl w:val="C9A8E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AFE5E23"/>
    <w:multiLevelType w:val="multilevel"/>
    <w:tmpl w:val="40B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DB"/>
    <w:rsid w:val="0001726E"/>
    <w:rsid w:val="00024A97"/>
    <w:rsid w:val="0003374D"/>
    <w:rsid w:val="00082591"/>
    <w:rsid w:val="000A7E96"/>
    <w:rsid w:val="000D1E29"/>
    <w:rsid w:val="00126850"/>
    <w:rsid w:val="001A31A6"/>
    <w:rsid w:val="001E7D64"/>
    <w:rsid w:val="0020392D"/>
    <w:rsid w:val="00210D61"/>
    <w:rsid w:val="002236AC"/>
    <w:rsid w:val="00235047"/>
    <w:rsid w:val="0027015E"/>
    <w:rsid w:val="002733AF"/>
    <w:rsid w:val="002777BA"/>
    <w:rsid w:val="00285724"/>
    <w:rsid w:val="002B1D2E"/>
    <w:rsid w:val="002F1BAB"/>
    <w:rsid w:val="00301EC4"/>
    <w:rsid w:val="003369E9"/>
    <w:rsid w:val="003B2507"/>
    <w:rsid w:val="003E738B"/>
    <w:rsid w:val="00445A73"/>
    <w:rsid w:val="004510D2"/>
    <w:rsid w:val="00470403"/>
    <w:rsid w:val="00474BB6"/>
    <w:rsid w:val="00491E22"/>
    <w:rsid w:val="004A58F3"/>
    <w:rsid w:val="004F1002"/>
    <w:rsid w:val="005312AC"/>
    <w:rsid w:val="005457C5"/>
    <w:rsid w:val="00576531"/>
    <w:rsid w:val="00577ECF"/>
    <w:rsid w:val="005B1719"/>
    <w:rsid w:val="00620436"/>
    <w:rsid w:val="0068664C"/>
    <w:rsid w:val="006B4387"/>
    <w:rsid w:val="006D7C4E"/>
    <w:rsid w:val="006F29F1"/>
    <w:rsid w:val="0070467A"/>
    <w:rsid w:val="00753704"/>
    <w:rsid w:val="00763C82"/>
    <w:rsid w:val="007E594F"/>
    <w:rsid w:val="007F6787"/>
    <w:rsid w:val="0080251B"/>
    <w:rsid w:val="00820974"/>
    <w:rsid w:val="008A1333"/>
    <w:rsid w:val="008D4AD3"/>
    <w:rsid w:val="009B32E1"/>
    <w:rsid w:val="009E0EDE"/>
    <w:rsid w:val="009F3453"/>
    <w:rsid w:val="00A24139"/>
    <w:rsid w:val="00A57923"/>
    <w:rsid w:val="00A610BC"/>
    <w:rsid w:val="00B3242A"/>
    <w:rsid w:val="00BA6919"/>
    <w:rsid w:val="00C33FE2"/>
    <w:rsid w:val="00C771B0"/>
    <w:rsid w:val="00CD4449"/>
    <w:rsid w:val="00CF54FE"/>
    <w:rsid w:val="00DB2EA5"/>
    <w:rsid w:val="00E36387"/>
    <w:rsid w:val="00E57C2D"/>
    <w:rsid w:val="00E7749D"/>
    <w:rsid w:val="00EC2758"/>
    <w:rsid w:val="00F2551A"/>
    <w:rsid w:val="00F35FCA"/>
    <w:rsid w:val="00F820D8"/>
    <w:rsid w:val="00FC05DB"/>
    <w:rsid w:val="00FD2B96"/>
    <w:rsid w:val="00FE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773C1-DAEF-4E41-BC78-CEA27157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E5511F35AC40A2C5E8F449B5C786714AFEECBA117DA33DC0956EC8Dq3l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s.gov.ru/el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60CC0-1168-4897-BC24-5E4C907C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zolotuhina</dc:creator>
  <cp:lastModifiedBy>Емельянова И.Ю.</cp:lastModifiedBy>
  <cp:revision>3</cp:revision>
  <cp:lastPrinted>2014-10-31T08:45:00Z</cp:lastPrinted>
  <dcterms:created xsi:type="dcterms:W3CDTF">2018-04-11T12:57:00Z</dcterms:created>
  <dcterms:modified xsi:type="dcterms:W3CDTF">2018-04-11T12:57:00Z</dcterms:modified>
</cp:coreProperties>
</file>